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80" w:rsidRDefault="002B6980" w:rsidP="002B698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А Д М И Н И С Т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Р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А Ц И Я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М И Х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А Й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Л О В С К О Г О  С Е Л Ь С О В Е Т А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П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О С Т А Н О В Л Е Н И Е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 20.11.2017 г.   № 95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b/>
          <w:bCs/>
          <w:color w:val="252525"/>
          <w:sz w:val="16"/>
          <w:szCs w:val="16"/>
        </w:rPr>
        <w:br/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 утверждении технологических схем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Администрации Михайловского сельсовета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Рыльского  района   Курской области 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по</w:t>
      </w:r>
      <w:proofErr w:type="gramEnd"/>
    </w:p>
    <w:p w:rsidR="002B6980" w:rsidRDefault="002B6980" w:rsidP="002B698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предоставлению муниципальных   услуг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  <w:r>
        <w:rPr>
          <w:rFonts w:ascii="PT-Astra-Sans-Regular" w:hAnsi="PT-Astra-Sans-Regular"/>
          <w:color w:val="252525"/>
          <w:sz w:val="16"/>
          <w:szCs w:val="16"/>
        </w:rPr>
        <w:t>     В соответствии с Федеральным законом Российской Федерации от 27 июля 2010 года № 210-ФЗ «Об организации предоставления государственных и муниципальных услуг», Администрация Михайловского сельсовета Рыльского района Курской области  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ПОСТАНОВЛЯЕТ</w:t>
      </w:r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Утвердить прилагаемые технологические схемы Администрации Михайловского сельсовета Рыльского  района  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  <w:r>
        <w:rPr>
          <w:rFonts w:ascii="PT-Astra-Sans-Regular" w:hAnsi="PT-Astra-Sans-Regular"/>
          <w:color w:val="252525"/>
          <w:sz w:val="16"/>
          <w:szCs w:val="16"/>
        </w:rPr>
        <w:t>по предоставлению муниципальных услуг: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предоставление земельных участков, находящихся в муниципальной собственности, на территории сельского поселения,   в собственность или  аренду  без проведения торгов;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предоставление земельных участков, находящихся в муниципальной собственности на территории сельского поселения гражданам для индивидуального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деятельности»;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предоставление в безвозмездное пользование аренду имущества, находящегося в муниципальной собственности;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предоставление земельных участков, находящихся в муниципальной собственности, расположенных на территории сельского поселения,  в постоянное (бессрочное) и безвозмездное пользование»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предоставления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копий)».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Разместить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настоящее постановление на официальном сайте Администрации Михайловского сельсовета Рыльского района Курской области в сети Интернет.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3.Постановление  вступает  в силу  со  дня  его обнародования. 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B6980" w:rsidRDefault="002B6980" w:rsidP="002B698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Глава Михайловского сельсовета                                                          В.И.Яношев   </w:t>
      </w:r>
    </w:p>
    <w:p w:rsidR="00A25223" w:rsidRPr="002B6980" w:rsidRDefault="00A25223" w:rsidP="002B6980"/>
    <w:sectPr w:rsidR="00A25223" w:rsidRPr="002B6980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104CC6"/>
    <w:rsid w:val="001662FE"/>
    <w:rsid w:val="002B6980"/>
    <w:rsid w:val="00630F6C"/>
    <w:rsid w:val="00A25223"/>
    <w:rsid w:val="00B8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2023-05-16T17:29:00Z</dcterms:created>
  <dcterms:modified xsi:type="dcterms:W3CDTF">2023-05-16T17:29:00Z</dcterms:modified>
</cp:coreProperties>
</file>