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ПОЯСНИТЕЛЬНАЯ ЗАПИСКА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к проекту бюджета Михайловского сельсовета Рыльского района на 2020 год и плановый период 2021г- 2022 годов    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Проект бюджета Михайловского сельсовета Рыльского района на 2020 год и плановый период 2021 г- 2022 годов составлен на основании федерального закона от 6 октября 2003 года № 131-ФЗ «Об общих принципах организации местного самоуправления в Российской Федерации» (с учетом изменений и дополнений), бюджетного и налогового законодательства, «Положения о бюджетном процессе в муниципальном образовании «Михайловский сельсовет»</w:t>
      </w:r>
      <w:proofErr w:type="gramEnd"/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Формирование доходной базы местного бюджета на 2020 год и плановый период 2021 и 2022 годов.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Доходная база местного бюджета  на 2020-2022 годы формируется исходя из действующего на момент составления бюджета налогового и бюджетного законодательства и макроэкономических параметров функционирования реального сектора экономики области.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Прогнозирование осуществляется отдельно по каждому виду налога или сбора в условиях хозяйствования области (налогооблагаемая база, индексы промышленного и сельскохозяйственного производства, индексы-дефляторы оптовых цен промышленной продукции, индекс потребительских цен, объёмы реализации подакцизных товаров, объёмы добычи полезных ископаемых, прибыль, фонд заработной платы) по муниципальному образованию.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При внесении в действующее налоговое законодательство изменений и дополнений методика прогнозирования отдельных налогов может быть уточнена.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Основные показатели социально-экономического развития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tbl>
      <w:tblPr>
        <w:tblW w:w="6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39"/>
        <w:gridCol w:w="1744"/>
        <w:gridCol w:w="1357"/>
      </w:tblGrid>
      <w:tr w:rsidR="00735D9E" w:rsidRPr="00735D9E" w:rsidTr="00735D9E"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Наименование показателя</w:t>
            </w:r>
          </w:p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Единицы измерения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Значения</w:t>
            </w:r>
          </w:p>
        </w:tc>
      </w:tr>
      <w:tr w:rsidR="00735D9E" w:rsidRPr="00735D9E" w:rsidTr="00735D9E"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Фонд заработной платы 2019 год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24580,0</w:t>
            </w:r>
          </w:p>
        </w:tc>
      </w:tr>
      <w:tr w:rsidR="00735D9E" w:rsidRPr="00735D9E" w:rsidTr="00735D9E"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Темп роста фонда заработной платы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101,9</w:t>
            </w:r>
          </w:p>
        </w:tc>
      </w:tr>
      <w:tr w:rsidR="00735D9E" w:rsidRPr="00735D9E" w:rsidTr="00735D9E"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Фонд заработной платы 2020 год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25038,0</w:t>
            </w:r>
          </w:p>
        </w:tc>
      </w:tr>
      <w:tr w:rsidR="00735D9E" w:rsidRPr="00735D9E" w:rsidTr="00735D9E"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Темп роста фонда заработной платы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101,9</w:t>
            </w:r>
          </w:p>
        </w:tc>
      </w:tr>
      <w:tr w:rsidR="00735D9E" w:rsidRPr="00735D9E" w:rsidTr="00735D9E"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Фонд заработной платы 2021 год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25506,0</w:t>
            </w:r>
          </w:p>
        </w:tc>
      </w:tr>
    </w:tbl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Налог на доходы физических лиц (код 1 01 02000 01 0000 110)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</w:t>
      </w:r>
      <w:hyperlink r:id="rId5" w:history="1">
        <w:r w:rsidRPr="00735D9E">
          <w:rPr>
            <w:rFonts w:ascii="PT-Astra-Sans-Regular" w:eastAsia="Times New Roman" w:hAnsi="PT-Astra-Sans-Regular" w:cs="Times New Roman"/>
            <w:color w:val="0345BF"/>
            <w:sz w:val="16"/>
            <w:lang w:eastAsia="ru-RU"/>
          </w:rPr>
          <w:t>статьями 227</w:t>
        </w:r>
      </w:hyperlink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, </w:t>
      </w:r>
      <w:hyperlink r:id="rId6" w:history="1">
        <w:r w:rsidRPr="00735D9E">
          <w:rPr>
            <w:rFonts w:ascii="PT-Astra-Sans-Regular" w:eastAsia="Times New Roman" w:hAnsi="PT-Astra-Sans-Regular" w:cs="Times New Roman"/>
            <w:color w:val="0345BF"/>
            <w:sz w:val="16"/>
            <w:lang w:eastAsia="ru-RU"/>
          </w:rPr>
          <w:t>227.1</w:t>
        </w:r>
      </w:hyperlink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и </w:t>
      </w:r>
      <w:hyperlink r:id="rId7" w:history="1">
        <w:r w:rsidRPr="00735D9E">
          <w:rPr>
            <w:rFonts w:ascii="PT-Astra-Sans-Regular" w:eastAsia="Times New Roman" w:hAnsi="PT-Astra-Sans-Regular" w:cs="Times New Roman"/>
            <w:color w:val="0345BF"/>
            <w:sz w:val="16"/>
            <w:lang w:eastAsia="ru-RU"/>
          </w:rPr>
          <w:t>228</w:t>
        </w:r>
      </w:hyperlink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Налогового кодекса Российской Федерации (код 1 01 02010 01 0000 110) рассчитывается по двум вариантам и принимается средний из них.</w:t>
      </w:r>
      <w:proofErr w:type="gramEnd"/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Первый вариант – сумма налога определяется исходя из ожидаемого поступления налога в 2019 году, скорректированного на темпы роста (снижения) фонда заработной платы на 2020 год.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Ожидаемое поступление налога в 2020 году рассчитывается исходя из фактических поступлений сумм налога за 6 месяцев 2019 года и среднего удельного веса поступлений за соответствующие периоды 2016, 2017 и 2018 годов в фактических годовых поступлениях.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Второй вариант – сумма налога определяется исходя из фонда заработной платы, планируемого комитетом по экономике и развитию Курской области на 2020 год, и ставки налога в размере 13 %.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Прогнозируемая сумма поступления налога на 2021 - 2022 годы также рассчитывается по двум вариантам и принимается </w:t>
      </w:r>
      <w:proofErr w:type="gramStart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средний</w:t>
      </w:r>
      <w:proofErr w:type="gramEnd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из них.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lastRenderedPageBreak/>
        <w:t>Первый вариант - сумма налога на 2021 - 2022 годы определяется исходя из прогнозируемого поступления налога в 2020 году по первому варианту, скорректированного на ежегодные темпы роста (снижения) фонда заработной платы на 2021 - 2022 годы.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Второй вариант - сумма налога на 2021 - 2022 годы определяется исходя из фонда заработной платы, планируемого комитетом по экономике и развитию Курской области на 2021 - 2022 годы, и ставки налога в размере 13 %.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</w:r>
      <w:hyperlink r:id="rId8" w:history="1">
        <w:r w:rsidRPr="00735D9E">
          <w:rPr>
            <w:rFonts w:ascii="PT-Astra-Sans-Regular" w:eastAsia="Times New Roman" w:hAnsi="PT-Astra-Sans-Regular" w:cs="Times New Roman"/>
            <w:color w:val="0345BF"/>
            <w:sz w:val="16"/>
            <w:lang w:eastAsia="ru-RU"/>
          </w:rPr>
          <w:t>статьей 227</w:t>
        </w:r>
      </w:hyperlink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Налогового кодекса Российской Федерации (код 1 01 02020 01 0000 110), рассчитывается исходя из ожидаемого поступления налога в 2019 году, скорректированного на ежегодные</w:t>
      </w:r>
      <w:proofErr w:type="gramEnd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темпы роста (снижения) фонда заработной платы в 2020 - 2022 годах.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Ожидаемое поступление налога в 2020 году рассчитывается исходя из фактических поступлений сумм налога в 2019 году, скорректированного на темпы роста (снижения) фонда заработной платы в 2020 году.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Прогноз поступлений налога на доходы физических лиц с доходов, полученных физическими лицами в соответствии со </w:t>
      </w:r>
      <w:hyperlink r:id="rId9" w:history="1">
        <w:r w:rsidRPr="00735D9E">
          <w:rPr>
            <w:rFonts w:ascii="PT-Astra-Sans-Regular" w:eastAsia="Times New Roman" w:hAnsi="PT-Astra-Sans-Regular" w:cs="Times New Roman"/>
            <w:color w:val="0345BF"/>
            <w:sz w:val="16"/>
            <w:lang w:eastAsia="ru-RU"/>
          </w:rPr>
          <w:t>статьей 228</w:t>
        </w:r>
      </w:hyperlink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Налогового кодекса Российской Федерации (код 1 01 02030 01 0000 110) в 2019 – 2021 годах определяется на уровне ожидаемого поступления налога в 2019 году.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Ожидаемое поступление налога в 2020 году определяется на уровне фактического поступления налога в 2019 году.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При получении в расчетах отрицательного значения прогноз поступления налога принимается </w:t>
      </w:r>
      <w:proofErr w:type="gramStart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равным</w:t>
      </w:r>
      <w:proofErr w:type="gramEnd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нулю.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Налог на доходы физических лиц планируется на 2020 год в сумме 88163, рубля</w:t>
      </w:r>
      <w:proofErr w:type="gramStart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;</w:t>
      </w:r>
      <w:proofErr w:type="gramEnd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на 2020 год  90023,00 рубля; на 2021 год 91925,00 рублей.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Единый сельскохозяйственный налог</w:t>
      </w: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(код 1 05 03010 01 0000 110)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Прогноз поступлений налога в 2020-2022 годах рассчитывается исходя из ожидаемого поступления налога в 2019 году, скорректированного на ежегодные индексы-дефляторы цен сельскохозяйственной продукции, прогнозируемые на 2020-2022 годы.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Ожидаемое поступление налога в 2019 году рассчитывается исходя из фактических поступлений сумм налога за 6 месяцев 2019 года и удельного веса поступлений за соответствующий период 2018 года в фактических годовых поступлениях. При расчёте ожидаемого поступления по муниципальным образованиям, у которых удельный вес 1 полугодия отчётного года составляет более 100 процентов или не превышает средний по области, в расчёт принимается удельный вес равный 100 процентам и средний по области соответственно.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При расчёте на очередной финансовый год и на плановый период прогноза поступления налога учитываются особенности по поселениям: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при отсутствии у поселения индексов цен сельскохозяйственной продукции в расчётах применяются сводные индексы по соответствующему району, в состав которого входят данные поселения;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при получении в расчётах отрицательного значения прогноз поступления налога принимается </w:t>
      </w:r>
      <w:proofErr w:type="gramStart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равным</w:t>
      </w:r>
      <w:proofErr w:type="gramEnd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нулю.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Сумма планируемого налога на 2020 год составляет  78364,00 рублей ; на плановый период 2021 года в сумме 81028,00 рублей и на 2022 год в сумме 83945,00 рублей</w:t>
      </w:r>
      <w:proofErr w:type="gramStart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.</w:t>
      </w:r>
      <w:proofErr w:type="gramEnd"/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Налог на имущество физических лиц</w:t>
      </w: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(код 1 06 01000 00 0000 110)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Прогноз поступлений налога на 2020-2022 годы рассчитывается исходя из ожидаемого поступления налога в 2019 году.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Ожидаемое поступление в 2020 году определяется на уровне фактического поступления налога в 2019 году.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Поступление налога в 2020 году и плановый период 2021 и 2022 годов составит  15493,00 рублей.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lastRenderedPageBreak/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Земельный налог</w:t>
      </w: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(код 1 06 06000 00 0000 110)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Прогноз поступлений земельного налога на 2020-2022 годы определяется на уровне ожидаемого поступления налога в 2020 году.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Ожидаемое поступление налога в 2020 году рассчитывается исходя из фактического поступления налога во 2 полугодии 2018 года и в 1 полугодии 2019 года.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Сумма расчетного налога  на 2020 год и плановый период 2021 и 2022 годов составляет 741967,21 рублей.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Безвозмездные поступления от других бюджетов бюджетной сис</w:t>
      </w: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softHyphen/>
        <w:t>темы Российской Федерации (2 02 00000 000 0000 000)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Безвозмездные поступления из областного бюджета  и бюджета Рыльского района Курской области прогнозируются в объемах, отраженных в проекте закона Курской области «Об областном бюджете на 2020 год и на плановый период 2021 и 2022 годов» и проекте решения Представительного Собрания Рыльского района Курской области «О бюджете Рыльского района Курской области на 2020 год и на плановый период 2021 и 2022 годов</w:t>
      </w:r>
      <w:proofErr w:type="gramEnd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» на момент </w:t>
      </w:r>
      <w:proofErr w:type="gramStart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формирования бюджета Михайловского сельсовета Рыльского района Курской области</w:t>
      </w:r>
      <w:proofErr w:type="gramEnd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Безвозмездные поступления планируются в следующем объеме: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                                                                                          рублей</w:t>
      </w:r>
    </w:p>
    <w:tbl>
      <w:tblPr>
        <w:tblW w:w="64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26"/>
        <w:gridCol w:w="3556"/>
        <w:gridCol w:w="760"/>
        <w:gridCol w:w="680"/>
        <w:gridCol w:w="680"/>
        <w:gridCol w:w="680"/>
      </w:tblGrid>
      <w:tr w:rsidR="00735D9E" w:rsidRPr="00735D9E" w:rsidTr="00735D9E">
        <w:trPr>
          <w:tblHeader/>
        </w:trPr>
        <w:tc>
          <w:tcPr>
            <w:tcW w:w="231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54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Наименование доходов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2019г.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2020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2021г.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2022</w:t>
            </w:r>
          </w:p>
        </w:tc>
      </w:tr>
      <w:tr w:rsidR="00735D9E" w:rsidRPr="00735D9E" w:rsidTr="00735D9E">
        <w:tc>
          <w:tcPr>
            <w:tcW w:w="2310" w:type="dxa"/>
            <w:shd w:val="clear" w:color="auto" w:fill="FFFFFF"/>
            <w:noWrap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2 00 00000 00 0000 000</w:t>
            </w:r>
          </w:p>
        </w:tc>
        <w:tc>
          <w:tcPr>
            <w:tcW w:w="3540" w:type="dxa"/>
            <w:shd w:val="clear" w:color="auto" w:fill="FFFFFF"/>
            <w:noWrap/>
            <w:vAlign w:val="bottom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БЕЗВОЗМЕЗДНЫЕ ПОСТУПЛЕНИЯ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1290983,43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895529,00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330274,00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326217,00</w:t>
            </w:r>
          </w:p>
        </w:tc>
      </w:tr>
      <w:tr w:rsidR="00735D9E" w:rsidRPr="00735D9E" w:rsidTr="00735D9E">
        <w:tc>
          <w:tcPr>
            <w:tcW w:w="2310" w:type="dxa"/>
            <w:shd w:val="clear" w:color="auto" w:fill="FFFFFF"/>
            <w:noWrap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2 02 00000 00 0000 000</w:t>
            </w:r>
          </w:p>
        </w:tc>
        <w:tc>
          <w:tcPr>
            <w:tcW w:w="3540" w:type="dxa"/>
            <w:shd w:val="clear" w:color="auto" w:fill="FFFFFF"/>
            <w:vAlign w:val="bottom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1295909,0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617346,00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330274,00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326217,00</w:t>
            </w:r>
          </w:p>
        </w:tc>
      </w:tr>
      <w:tr w:rsidR="00735D9E" w:rsidRPr="00735D9E" w:rsidTr="00735D9E">
        <w:tc>
          <w:tcPr>
            <w:tcW w:w="2310" w:type="dxa"/>
            <w:shd w:val="clear" w:color="auto" w:fill="FFFFFF"/>
            <w:noWrap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2 02 01000 00 0000 151</w:t>
            </w:r>
          </w:p>
        </w:tc>
        <w:tc>
          <w:tcPr>
            <w:tcW w:w="3540" w:type="dxa"/>
            <w:shd w:val="clear" w:color="auto" w:fill="FFFFFF"/>
            <w:vAlign w:val="bottom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883987,00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536592,00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249309,00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243309,00</w:t>
            </w:r>
          </w:p>
        </w:tc>
      </w:tr>
      <w:tr w:rsidR="00735D9E" w:rsidRPr="00735D9E" w:rsidTr="00735D9E">
        <w:tc>
          <w:tcPr>
            <w:tcW w:w="2310" w:type="dxa"/>
            <w:shd w:val="clear" w:color="auto" w:fill="FFFFFF"/>
            <w:noWrap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2 02 15001 10 0000 151</w:t>
            </w:r>
          </w:p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0" w:type="dxa"/>
            <w:shd w:val="clear" w:color="auto" w:fill="FFFFFF"/>
            <w:vAlign w:val="bottom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178998,00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311636,00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249309,00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243309,00</w:t>
            </w:r>
          </w:p>
        </w:tc>
      </w:tr>
      <w:tr w:rsidR="00735D9E" w:rsidRPr="00735D9E" w:rsidTr="00735D9E">
        <w:tc>
          <w:tcPr>
            <w:tcW w:w="2310" w:type="dxa"/>
            <w:shd w:val="clear" w:color="auto" w:fill="FFFFFF"/>
            <w:noWrap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2 02 15002 10 0000 151</w:t>
            </w:r>
          </w:p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0" w:type="dxa"/>
            <w:shd w:val="clear" w:color="auto" w:fill="FFFFFF"/>
            <w:vAlign w:val="bottom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Дотации бюджетам поселений на сбалансированность бюджетной обеспеченности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862171,00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224956,00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735D9E" w:rsidRPr="00735D9E" w:rsidTr="00735D9E">
        <w:tc>
          <w:tcPr>
            <w:tcW w:w="2310" w:type="dxa"/>
            <w:shd w:val="clear" w:color="auto" w:fill="FFFFFF"/>
            <w:noWrap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2 02 03000 00 0000 151</w:t>
            </w:r>
          </w:p>
        </w:tc>
        <w:tc>
          <w:tcPr>
            <w:tcW w:w="3540" w:type="dxa"/>
            <w:shd w:val="clear" w:color="auto" w:fill="FFFFFF"/>
            <w:vAlign w:val="bottom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78713,00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80754,00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80965,00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82908,00</w:t>
            </w:r>
          </w:p>
        </w:tc>
      </w:tr>
      <w:tr w:rsidR="00735D9E" w:rsidRPr="00735D9E" w:rsidTr="00735D9E">
        <w:tc>
          <w:tcPr>
            <w:tcW w:w="2310" w:type="dxa"/>
            <w:shd w:val="clear" w:color="auto" w:fill="FFFFFF"/>
            <w:noWrap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2 02 35118 10 0000 151</w:t>
            </w:r>
          </w:p>
        </w:tc>
        <w:tc>
          <w:tcPr>
            <w:tcW w:w="3540" w:type="dxa"/>
            <w:shd w:val="clear" w:color="auto" w:fill="FFFFFF"/>
            <w:vAlign w:val="bottom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77818,00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80754,00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80965,00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82908,00</w:t>
            </w:r>
          </w:p>
        </w:tc>
      </w:tr>
      <w:tr w:rsidR="00735D9E" w:rsidRPr="00735D9E" w:rsidTr="00735D9E">
        <w:tc>
          <w:tcPr>
            <w:tcW w:w="2310" w:type="dxa"/>
            <w:shd w:val="clear" w:color="auto" w:fill="FFFFFF"/>
            <w:noWrap/>
            <w:vAlign w:val="bottom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2 02  29999 10 0000 151</w:t>
            </w:r>
          </w:p>
        </w:tc>
        <w:tc>
          <w:tcPr>
            <w:tcW w:w="3540" w:type="dxa"/>
            <w:shd w:val="clear" w:color="auto" w:fill="FFFFFF"/>
            <w:vAlign w:val="bottom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Прочие субсидии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349441,00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735D9E" w:rsidRPr="00735D9E" w:rsidTr="00735D9E">
        <w:tc>
          <w:tcPr>
            <w:tcW w:w="2310" w:type="dxa"/>
            <w:shd w:val="clear" w:color="auto" w:fill="FFFFFF"/>
            <w:noWrap/>
            <w:vAlign w:val="bottom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   2 02  40014 10 0000  151</w:t>
            </w:r>
          </w:p>
        </w:tc>
        <w:tc>
          <w:tcPr>
            <w:tcW w:w="3540" w:type="dxa"/>
            <w:shd w:val="clear" w:color="auto" w:fill="FFFFFF"/>
            <w:vAlign w:val="bottom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Межбюджетные трансферты, передаваемые бюджетам 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119610,00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735D9E" w:rsidRPr="00735D9E" w:rsidTr="00735D9E">
        <w:tc>
          <w:tcPr>
            <w:tcW w:w="2310" w:type="dxa"/>
            <w:shd w:val="clear" w:color="auto" w:fill="FFFFFF"/>
            <w:noWrap/>
            <w:vAlign w:val="bottom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2 07 00000 00 0000 000</w:t>
            </w:r>
          </w:p>
        </w:tc>
        <w:tc>
          <w:tcPr>
            <w:tcW w:w="3540" w:type="dxa"/>
            <w:shd w:val="clear" w:color="auto" w:fill="FFFFFF"/>
            <w:vAlign w:val="bottom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Прочие безвозмездные поступления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47620,75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</w:tr>
      <w:tr w:rsidR="00735D9E" w:rsidRPr="00735D9E" w:rsidTr="00735D9E">
        <w:tc>
          <w:tcPr>
            <w:tcW w:w="2310" w:type="dxa"/>
            <w:shd w:val="clear" w:color="auto" w:fill="FFFFFF"/>
            <w:noWrap/>
            <w:vAlign w:val="bottom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   219 60010 10 0000 151</w:t>
            </w:r>
          </w:p>
        </w:tc>
        <w:tc>
          <w:tcPr>
            <w:tcW w:w="3540" w:type="dxa"/>
            <w:shd w:val="clear" w:color="auto" w:fill="FFFFFF"/>
            <w:vAlign w:val="bottom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-2873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</w:tbl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Расходы местного бюджета на 2020 год и плановый период 2021 и 2022годов.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 основу прогноза расходов местного бюджета положены Федеральные законы от 31 июля 1998 года № 145-ФЗ «Бюджетный кодекс Российской Федерации» (с учетом изменений и дополнений),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(с учетом изменений и дополнений), от 6 октября 2003 года № 131-ФЗ «Об общих принципах организации местного</w:t>
      </w:r>
      <w:proofErr w:type="gramEnd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самоуправления в Российской Федерации» (с учетом изменений и дополнений), Послание Президента Российской Федерации Федеральному Собранию Российской Федерации, приказ Министерства финансов Российской Федерации от 8 июня 2018 года № 132н «Об утверждении Порядка применения кодов бюджетной классификации Российской Федерации»</w:t>
      </w:r>
      <w:proofErr w:type="gramStart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,</w:t>
      </w:r>
      <w:proofErr w:type="gramEnd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Основные направления бюджетной и налоговой политики </w:t>
      </w: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lastRenderedPageBreak/>
        <w:t>Курской области на 2020 год и на плановый период 2021 и 2022 годов, утвержденные распоряжением Администрации Курской области от 14 сентября 2018 года  № 372-ра, а также проект федерального закона «О федеральном бюджете на 2020 год и на плановый период 2021 и 2022 годов».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Структура расходов местного бюджета в разрезе функциональной классификации расходов представлена следующим образом: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64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97"/>
        <w:gridCol w:w="1025"/>
        <w:gridCol w:w="965"/>
        <w:gridCol w:w="874"/>
        <w:gridCol w:w="939"/>
      </w:tblGrid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Уточненный план</w:t>
            </w:r>
          </w:p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на 2019год</w:t>
            </w:r>
          </w:p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Проект</w:t>
            </w:r>
          </w:p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на 2020г.</w:t>
            </w:r>
          </w:p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Проект</w:t>
            </w:r>
          </w:p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на 2021г.</w:t>
            </w:r>
          </w:p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Проект</w:t>
            </w:r>
          </w:p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на 2022г.</w:t>
            </w:r>
          </w:p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</w:tr>
      <w:tr w:rsidR="00735D9E" w:rsidRPr="00735D9E" w:rsidTr="00735D9E">
        <w:tc>
          <w:tcPr>
            <w:tcW w:w="5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Расходы, всего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2670452,94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2001467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1258785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1265547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% к расходам всего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100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Темп роста</w:t>
            </w:r>
            <w:proofErr w:type="gramStart"/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 xml:space="preserve"> (+), </w:t>
            </w:r>
            <w:proofErr w:type="gramEnd"/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снижения (-) %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</w:tr>
      <w:tr w:rsidR="00735D9E" w:rsidRPr="00735D9E" w:rsidTr="00735D9E">
        <w:tc>
          <w:tcPr>
            <w:tcW w:w="5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1346000,67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994708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655524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641032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% к расходам всего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50,6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Темп роста</w:t>
            </w:r>
            <w:proofErr w:type="gramStart"/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 xml:space="preserve"> (+), </w:t>
            </w:r>
            <w:proofErr w:type="gramEnd"/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снижения (-) %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97,4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104,8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97,1</w:t>
            </w:r>
          </w:p>
        </w:tc>
      </w:tr>
      <w:tr w:rsidR="00735D9E" w:rsidRPr="00735D9E" w:rsidTr="00735D9E">
        <w:tc>
          <w:tcPr>
            <w:tcW w:w="5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77818,00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80754,00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80965,00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82908,00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% к расходам всего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6,6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Темп роста</w:t>
            </w:r>
            <w:proofErr w:type="gramStart"/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 xml:space="preserve"> (+), </w:t>
            </w:r>
            <w:proofErr w:type="gramEnd"/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снижения (-) %.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103</w:t>
            </w:r>
          </w:p>
        </w:tc>
      </w:tr>
      <w:tr w:rsidR="00735D9E" w:rsidRPr="00735D9E" w:rsidTr="00735D9E">
        <w:tc>
          <w:tcPr>
            <w:tcW w:w="5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30304,00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12000,00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22000,00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22000,00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% к расходам всего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1,13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1,7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Темп роста</w:t>
            </w:r>
            <w:proofErr w:type="gramStart"/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 xml:space="preserve"> (+), </w:t>
            </w:r>
            <w:proofErr w:type="gramEnd"/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снижения (-) %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100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65774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25000,00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21000,00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% к расходам всего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1,05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1,7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Темп роста</w:t>
            </w:r>
            <w:proofErr w:type="gramStart"/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 xml:space="preserve"> (+), </w:t>
            </w:r>
            <w:proofErr w:type="gramEnd"/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снижения (-) %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0,85</w:t>
            </w:r>
          </w:p>
        </w:tc>
      </w:tr>
      <w:tr w:rsidR="00735D9E" w:rsidRPr="00735D9E" w:rsidTr="00735D9E">
        <w:tc>
          <w:tcPr>
            <w:tcW w:w="5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121932,00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25000,00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10000,00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% к расходам всего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0,8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Темп роста</w:t>
            </w:r>
            <w:proofErr w:type="gramStart"/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 xml:space="preserve"> (+), </w:t>
            </w:r>
            <w:proofErr w:type="gramEnd"/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снижения (-) %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100</w:t>
            </w:r>
          </w:p>
        </w:tc>
      </w:tr>
      <w:tr w:rsidR="00735D9E" w:rsidRPr="00735D9E" w:rsidTr="00735D9E">
        <w:tc>
          <w:tcPr>
            <w:tcW w:w="5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1027477,01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867005,00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464296,00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487697,00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% к расходам всего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     36,7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38,5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Темп роста</w:t>
            </w:r>
            <w:proofErr w:type="gramStart"/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 xml:space="preserve"> (+), </w:t>
            </w:r>
            <w:proofErr w:type="gramEnd"/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снижения (-)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124,1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84,7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104,9</w:t>
            </w:r>
          </w:p>
        </w:tc>
      </w:tr>
      <w:tr w:rsidR="00735D9E" w:rsidRPr="00735D9E" w:rsidTr="00735D9E">
        <w:tc>
          <w:tcPr>
            <w:tcW w:w="5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1000,00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% к расходам всего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</w:tr>
      <w:tr w:rsidR="00735D9E" w:rsidRPr="00735D9E" w:rsidTr="00735D9E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Темп роста</w:t>
            </w:r>
            <w:proofErr w:type="gramStart"/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 xml:space="preserve"> (+), </w:t>
            </w:r>
            <w:proofErr w:type="gramEnd"/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снижения (-)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D9E" w:rsidRPr="00735D9E" w:rsidRDefault="00735D9E" w:rsidP="00735D9E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35D9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100</w:t>
            </w:r>
          </w:p>
        </w:tc>
      </w:tr>
    </w:tbl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Особенности формирования местного бюджета по расходам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Раздел 0100 «Общегосударственные вопросы»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i/>
          <w:iCs/>
          <w:color w:val="252525"/>
          <w:sz w:val="16"/>
          <w:lang w:eastAsia="ru-RU"/>
        </w:rPr>
        <w:t>Подраздел 0102 «Функционирование высшего должностного лица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i/>
          <w:iCs/>
          <w:color w:val="252525"/>
          <w:sz w:val="16"/>
          <w:lang w:eastAsia="ru-RU"/>
        </w:rPr>
        <w:t>субъекта Российской Федерации и муниципального образования»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Расходные обязательства поселения по обеспечению деятельности Главы администрации определяются Уставом муниципального образования.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По данному подразделу планируются </w:t>
      </w:r>
      <w:proofErr w:type="gramStart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согласно</w:t>
      </w:r>
      <w:proofErr w:type="gramEnd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штатного расписания по состоянию на 22.11.2019г. На 2020 год  и плановый период 2021 и 2022 годов запланирована сумма в размере 234,3 тыс. рублей. Запланированы расходы на 67,1%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i/>
          <w:iCs/>
          <w:color w:val="252525"/>
          <w:sz w:val="16"/>
          <w:lang w:eastAsia="ru-RU"/>
        </w:rPr>
        <w:lastRenderedPageBreak/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i/>
          <w:iCs/>
          <w:color w:val="252525"/>
          <w:sz w:val="16"/>
          <w:lang w:eastAsia="ru-RU"/>
        </w:rPr>
        <w:t>Подраздел  0104 «Функционирование местных администраций»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При формировании расходов местного бюджета по подразделу «Функционирование  местных администраций» на 2020 год  и плановый  период 2021 и 2022 годов применены общие подходы к расчету бюджетных проектировок: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 при формировании фонда оплаты труда на 2020 год  и плановый период 2021 и 2022 годов по  подразделу 0104 «Функционирование местных администраций»  Норматив на содержание органов местного самоуправления на 2020год  применялся.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i/>
          <w:iCs/>
          <w:color w:val="252525"/>
          <w:sz w:val="16"/>
          <w:lang w:eastAsia="ru-RU"/>
        </w:rPr>
        <w:t>По подразделу 0111 «Резервные фонды органов местного самоуправления»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Размер резервного  фонда местной администрации установлен в размере 0,5% от утвержденного решением Собрания депутатов общего объема расходов. Сумма резервного фонда составила 9240 рублей на 2020 год и плановый период 2021 год  и 2022 годы.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i/>
          <w:iCs/>
          <w:color w:val="252525"/>
          <w:sz w:val="16"/>
          <w:lang w:eastAsia="ru-RU"/>
        </w:rPr>
        <w:t>Подраздел 0113 «Другие общегосударственные вопросы»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Расходы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информации, которые определяются исходя из норматива расходов на периодическую печать и издательство. Расходы планируются на проведение мероприятий ко Дню Победы, дню пожилых, а также на благоустройство территории. Предусмотрены взносы в ассоциацию муниципальных образований и уплата водного налога. Некоторые мероприятия реализуются через муниципальные программы. На эти цели предусмотрены средства в сумме 181632 рубль 00 копеек.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Раздел 0200 «Национальная оборона»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i/>
          <w:iCs/>
          <w:color w:val="252525"/>
          <w:sz w:val="16"/>
          <w:lang w:eastAsia="ru-RU"/>
        </w:rPr>
        <w:t>Подраздел 0203 «Мобилизационная и вневойсковая подготовка»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По данному разделу предусмотрены расходы на осуществление переданных полномочий Российской Федерации по первичному воинскому учету на территориях, где отсутствуют военные комиссариаты, за счет средств федерального бюджета на 2020 год  и плановый период 2021- 2022 годов  в сумме 80754 рублей.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Раздел 0300 «</w:t>
      </w:r>
      <w:proofErr w:type="gramStart"/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Национальная</w:t>
      </w:r>
      <w:proofErr w:type="gramEnd"/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 xml:space="preserve"> безопасности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и правоохранительная деятельность»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  <w:r w:rsidRPr="00735D9E">
        <w:rPr>
          <w:rFonts w:ascii="PT-Astra-Sans-Regular" w:eastAsia="Times New Roman" w:hAnsi="PT-Astra-Sans-Regular" w:cs="Times New Roman"/>
          <w:b/>
          <w:bCs/>
          <w:i/>
          <w:iCs/>
          <w:color w:val="252525"/>
          <w:sz w:val="16"/>
          <w:lang w:eastAsia="ru-RU"/>
        </w:rPr>
        <w:t>Подраздел 0310 «Обеспечение пожарной безопасности»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По данному подразделу планируются расходы поселений на обеспечение первичных мер пожарной безопасности в границах населенных пунктов поселений  в сумме 12000 рублей на 2020 год и на плановый период 2020-2021годы в сумме 22000 рублей.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        </w:t>
      </w: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Раздел 0400 ««Национальная экономика»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i/>
          <w:iCs/>
          <w:color w:val="252525"/>
          <w:sz w:val="16"/>
          <w:lang w:eastAsia="ru-RU"/>
        </w:rPr>
        <w:t>Подраздел 0412 «Другие вопросы в области национальной экономики»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lastRenderedPageBreak/>
        <w:t>По данному подразделу планируются расходы на оформление муниципальной собственности в сумме 21000 рублей на 2020 год и на плановый период 2020-2021годы в сумме 25000 и 21000 рублей.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Раздел 0500 «Жилищно-коммунальное хозяйство»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i/>
          <w:iCs/>
          <w:color w:val="252525"/>
          <w:sz w:val="16"/>
          <w:lang w:eastAsia="ru-RU"/>
        </w:rPr>
        <w:t>Подраздел 0503 «Благоустройство»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Расходы на благоустройство муниципального образования, включат содержание территории муниципальных образований, а также проектирование, создание, реконструкцию, капитальный ремонт, ремонт и содержание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 (включая расходы на освещение улиц, озеленение территорий, установку указателей с наименованиями улиц и номерами домов, размещение и содержание малых архитектурных форм</w:t>
      </w:r>
      <w:proofErr w:type="gramEnd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, а также другие мероприятия по благоустройству в границах муниципальных образований, планируются в сумме 25000рублей. Расходы  предусмотрены муниципальной программой.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Раздел 0800 «Культура и кинематография»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i/>
          <w:iCs/>
          <w:color w:val="252525"/>
          <w:sz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i/>
          <w:iCs/>
          <w:color w:val="252525"/>
          <w:sz w:val="16"/>
          <w:lang w:eastAsia="ru-RU"/>
        </w:rPr>
        <w:t>Подраздел 0801 «Культура»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 Планируются расходы: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 по заработной плате работникам учреждений культуры исходя из штатного расписания на 22.11.2019г.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 - прочие выплаты планируются на уровне отчетных данных об исполнении местного бюджета по состоянию на 22.11.2019 года;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 по начислениям на оплату труда – исходя из норматива 30,2%;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       - по коммунальным услугам не предусмотрены увеличе</w:t>
      </w: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softHyphen/>
        <w:t>ние, расходы запланированы на уровне утвержденных значений 2019 года.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Расходы по культуре планируются на 2020 год в сумме 867005 рублей; на 2021-2022 год в сумме 464296,00 рублей и 487607 рублей.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Раздел 1100 «Физическая культура и спорт»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i/>
          <w:iCs/>
          <w:color w:val="252525"/>
          <w:sz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b/>
          <w:bCs/>
          <w:i/>
          <w:iCs/>
          <w:color w:val="252525"/>
          <w:sz w:val="16"/>
          <w:lang w:eastAsia="ru-RU"/>
        </w:rPr>
        <w:t>Подраздел 1102 « Массовый спорт»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По данному подразделу -  по обеспечению условий для развития на территории муниципального образования физической культуры и массового спорта, организации проведения официальных физкультурно-оздоровительных и спортивных мероприятий.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Сумма расходов на 2020 год и плановый период 2020 и 2021 годов предусмотрено в размере 1000 рублей.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Расходы по всем разделам </w:t>
      </w:r>
      <w:proofErr w:type="gramStart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из</w:t>
      </w:r>
      <w:proofErr w:type="gramEnd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</w:t>
      </w:r>
      <w:proofErr w:type="gramStart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за</w:t>
      </w:r>
      <w:proofErr w:type="gramEnd"/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отсутствия ассигнований запланированы не в полном объёме.</w:t>
      </w:r>
    </w:p>
    <w:p w:rsidR="00735D9E" w:rsidRPr="00735D9E" w:rsidRDefault="00735D9E" w:rsidP="00735D9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35D9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A25223" w:rsidRPr="00735D9E" w:rsidRDefault="00A25223" w:rsidP="00735D9E"/>
    <w:sectPr w:rsidR="00A25223" w:rsidRPr="00735D9E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546E"/>
    <w:multiLevelType w:val="multilevel"/>
    <w:tmpl w:val="71C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FE12D9"/>
    <w:rsid w:val="00011FF6"/>
    <w:rsid w:val="0001697B"/>
    <w:rsid w:val="00036AD0"/>
    <w:rsid w:val="000B65C8"/>
    <w:rsid w:val="00291D64"/>
    <w:rsid w:val="004A5E3B"/>
    <w:rsid w:val="00507506"/>
    <w:rsid w:val="00521F9E"/>
    <w:rsid w:val="00567756"/>
    <w:rsid w:val="00630F6C"/>
    <w:rsid w:val="006A38F5"/>
    <w:rsid w:val="00735D9E"/>
    <w:rsid w:val="0078321E"/>
    <w:rsid w:val="007872DA"/>
    <w:rsid w:val="00860C13"/>
    <w:rsid w:val="00887B57"/>
    <w:rsid w:val="008976E7"/>
    <w:rsid w:val="00996C3D"/>
    <w:rsid w:val="009D5A88"/>
    <w:rsid w:val="00A25223"/>
    <w:rsid w:val="00A60ABF"/>
    <w:rsid w:val="00B80655"/>
    <w:rsid w:val="00BF2440"/>
    <w:rsid w:val="00C96EAC"/>
    <w:rsid w:val="00CB1EE1"/>
    <w:rsid w:val="00D404E8"/>
    <w:rsid w:val="00E2777F"/>
    <w:rsid w:val="00E726D2"/>
    <w:rsid w:val="00EE3C43"/>
    <w:rsid w:val="00F167DC"/>
    <w:rsid w:val="00FB2070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  <w:style w:type="character" w:styleId="a6">
    <w:name w:val="Emphasis"/>
    <w:basedOn w:val="a0"/>
    <w:uiPriority w:val="20"/>
    <w:qFormat/>
    <w:rsid w:val="0078321E"/>
    <w:rPr>
      <w:i/>
      <w:iCs/>
    </w:rPr>
  </w:style>
  <w:style w:type="paragraph" w:customStyle="1" w:styleId="consnormal">
    <w:name w:val="consnormal"/>
    <w:basedOn w:val="a"/>
    <w:rsid w:val="0073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ED62AED1E3212B22C1DBDF5D5BEC44C0DF1B5703116FB590C22EBE0812C0CC4463F9713D97mAn0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4CF882AD44F61CB78531C71F3BFD99A8498F4FF10B93FD02292512BEFAB10893E0A8ACD7B3D119f0k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4CF882AD44F61CB78531C71F3BFD99A8498F4FF10B93FD02292512BEFAB10893E0A8ACD7BAD2f1k7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D4CF882AD44F61CB78531C71F3BFD99A8498F4FF10B93FD02292512BEFAB10893E0A8AED7B3fDkC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F5E7937C8365AECD73DB089C4B5A5200234B2C2A47CD5E7C7E2E6552A10B04C699CC1DB4251D60v5K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2678</Words>
  <Characters>15265</Characters>
  <Application>Microsoft Office Word</Application>
  <DocSecurity>0</DocSecurity>
  <Lines>127</Lines>
  <Paragraphs>35</Paragraphs>
  <ScaleCrop>false</ScaleCrop>
  <Company/>
  <LinksUpToDate>false</LinksUpToDate>
  <CharactersWithSpaces>17908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2023-05-14T20:28:00Z</dcterms:created>
  <dcterms:modified xsi:type="dcterms:W3CDTF">2023-05-14T20:28:00Z</dcterms:modified>
</cp:coreProperties>
</file>